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Harrow,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Opaleye Management Inc.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2,400,000.00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2,400,000.00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6.44 %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Opaleye,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Based on 37,275,107 shares of Common Stock outstanding as of May 6, 2026, as reported by Harrow, Inc. in its Form 10-Q filed with the SEC on May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James Silverman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36"/>
        <w:gridCol w:w="8914"/>
        <w:gridCol w:w="155"/>
      </w:tblGrid>
      <w:tr>
        <w:trPr/>
        <w:tc>
          <w:tcPr>
            <w:tcW w:w="1136" w:type="dxa"/>
            <w:tcBorders/>
            <w:vAlign w:val="center"/>
          </w:tcPr>
          <w:p>
            <w:pPr>
              <w:pStyle w:val="TableContents"/>
              <w:bidi w:val="0"/>
              <w:spacing w:before="0" w:after="283"/>
              <w:jc w:val="left"/>
              <w:rPr/>
            </w:pPr>
            <w:r>
              <w:rPr/>
              <w:t>Item 1.</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issuer: </w:t>
            </w:r>
          </w:p>
          <w:p>
            <w:pPr>
              <w:pStyle w:val="TableContents"/>
              <w:bidi w:val="0"/>
              <w:spacing w:before="0" w:after="0"/>
              <w:jc w:val="left"/>
              <w:rPr/>
            </w:pPr>
            <w:r>
              <w:rPr/>
              <w:t>Harrow, Inc.</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1A Burton Hills Blvd., Suite 200, Nashville, TN 37215</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2.</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Opaleye Management Inc. (the "Adviser"), (ii) Opaleye, L.P. (the "Fund"), and (iii) James Silverman (collectively, the "Reporting Persons"). The Fund directly holds 2,400,000 shares of Common Stock, par value $0.001 per share (the "Common Stock"), of Harrow, Inc. (the "Issuer"). The Adviser, as investment adviser to the Fund, and Mr. Silverman, as the controlling person of the Adviser, may be deemed to beneficially own the 2,400,000 shares of Common Stock held directly by the Fund. The filing of this statement shall not be construed as an admission that any Reporting Person is the beneficial owner of any securities covered by this statement for purposes of Section 13 of the Securities Exchange Act of 1934, as amended, or otherwise.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Boston Place, 26th Floor, Boston, MA 02108</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jc w:val="left"/>
              <w:rPr/>
            </w:pPr>
            <w:r>
              <w:rPr/>
              <w:t xml:space="preserve">Citizenship: </w:t>
            </w:r>
          </w:p>
          <w:p>
            <w:pPr>
              <w:pStyle w:val="TableContents"/>
              <w:bidi w:val="0"/>
              <w:spacing w:before="0" w:after="0"/>
              <w:jc w:val="left"/>
              <w:rPr/>
            </w:pPr>
            <w:r>
              <w:rPr/>
              <w:t>Opaleye Management Inc. - Massachusetts Opaleye, L.P. - Delaware James Silverman - United States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3.</w:t>
            </w:r>
          </w:p>
        </w:tc>
        <w:tc>
          <w:tcPr>
            <w:tcW w:w="891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(f)</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(g)</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(h)</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(j)</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(k)</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9069"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4.</w:t>
            </w:r>
          </w:p>
        </w:tc>
        <w:tc>
          <w:tcPr>
            <w:tcW w:w="891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2,400,000.00</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6.44  %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2,400,000.00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2,400,000.00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1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891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7.</w:t>
            </w:r>
          </w:p>
        </w:tc>
        <w:tc>
          <w:tcPr>
            <w:tcW w:w="891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8.</w:t>
            </w:r>
          </w:p>
        </w:tc>
        <w:tc>
          <w:tcPr>
            <w:tcW w:w="891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9.</w:t>
            </w:r>
          </w:p>
        </w:tc>
        <w:tc>
          <w:tcPr>
            <w:tcW w:w="891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26" w:type="dxa"/>
        <w:jc w:val="left"/>
        <w:tblInd w:w="0" w:type="dxa"/>
        <w:tblLayout w:type="fixed"/>
        <w:tblCellMar>
          <w:top w:w="28" w:type="dxa"/>
          <w:left w:w="28" w:type="dxa"/>
          <w:bottom w:w="28" w:type="dxa"/>
          <w:right w:w="28" w:type="dxa"/>
        </w:tblCellMar>
      </w:tblPr>
      <w:tblGrid>
        <w:gridCol w:w="2813"/>
        <w:gridCol w:w="2813"/>
      </w:tblGrid>
      <w:tr>
        <w:trPr/>
        <w:tc>
          <w:tcPr>
            <w:tcW w:w="2813" w:type="dxa"/>
            <w:tcBorders/>
            <w:vAlign w:val="center"/>
          </w:tcPr>
          <w:p>
            <w:pPr>
              <w:pStyle w:val="TableContents"/>
              <w:bidi w:val="0"/>
              <w:spacing w:before="0" w:after="0"/>
              <w:jc w:val="left"/>
              <w:rPr/>
            </w:pPr>
            <w:r>
              <w:rPr/>
              <w:t> </w:t>
            </w:r>
          </w:p>
          <w:tbl>
            <w:tblPr>
              <w:tblW w:w="2671" w:type="dxa"/>
              <w:jc w:val="left"/>
              <w:tblInd w:w="0" w:type="dxa"/>
              <w:tblLayout w:type="fixed"/>
              <w:tblCellMar>
                <w:top w:w="28" w:type="dxa"/>
                <w:left w:w="28" w:type="dxa"/>
                <w:bottom w:w="28" w:type="dxa"/>
                <w:right w:w="28" w:type="dxa"/>
              </w:tblCellMar>
            </w:tblPr>
            <w:tblGrid>
              <w:gridCol w:w="2671"/>
            </w:tblGrid>
            <w:tr>
              <w:trPr/>
              <w:tc>
                <w:tcPr>
                  <w:tcW w:w="2671" w:type="dxa"/>
                  <w:tcBorders/>
                  <w:vAlign w:val="center"/>
                </w:tcPr>
                <w:p>
                  <w:pPr>
                    <w:pStyle w:val="TableContents"/>
                    <w:bidi w:val="0"/>
                    <w:spacing w:before="0" w:after="0"/>
                    <w:jc w:val="left"/>
                    <w:rPr/>
                  </w:pPr>
                  <w:r>
                    <w:rPr/>
                    <w:t>Opaleye Management Inc.</w:t>
                  </w:r>
                </w:p>
              </w:tc>
            </w:tr>
          </w:tbl>
          <w:p>
            <w:pPr>
              <w:pStyle w:val="TableContents"/>
              <w:bidi w:val="0"/>
              <w:spacing w:before="0" w:after="283"/>
              <w:jc w:val="left"/>
              <w:rPr/>
            </w:pPr>
            <w:r>
              <w:rPr/>
            </w:r>
          </w:p>
        </w:tc>
        <w:tc>
          <w:tcPr>
            <w:tcW w:w="28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James Silverman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President</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Opaleye, L.P.</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James Silverman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General Partner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James Silverman</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9"/>
        <w:gridCol w:w="4256"/>
      </w:tblGrid>
      <w:tr>
        <w:trPr/>
        <w:tc>
          <w:tcPr>
            <w:tcW w:w="59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James Silverman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Individually</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56" w:type="dxa"/>
            <w:tcBorders/>
            <w:vAlign w:val="center"/>
          </w:tcPr>
          <w:p>
            <w:pPr>
              <w:pStyle w:val="TableContents"/>
              <w:bidi w:val="0"/>
              <w:spacing w:before="0" w:after="283"/>
              <w:jc w:val="left"/>
              <w:rPr>
                <w:sz w:val="4"/>
                <w:szCs w:val="4"/>
              </w:rPr>
            </w:pPr>
            <w:r>
              <w:rPr>
                <w:sz w:val="4"/>
                <w:szCs w:val="4"/>
              </w:rPr>
            </w:r>
          </w:p>
        </w:tc>
      </w:tr>
    </w:tbl>
    <w:tbl>
      <w:tblPr>
        <w:tblW w:w="7021" w:type="dxa"/>
        <w:jc w:val="left"/>
        <w:tblInd w:w="0" w:type="dxa"/>
        <w:tblLayout w:type="fixed"/>
        <w:tblCellMar>
          <w:top w:w="28" w:type="dxa"/>
          <w:left w:w="28" w:type="dxa"/>
          <w:bottom w:w="28" w:type="dxa"/>
          <w:right w:w="28" w:type="dxa"/>
        </w:tblCellMar>
      </w:tblPr>
      <w:tblGrid>
        <w:gridCol w:w="7021"/>
      </w:tblGrid>
      <w:tr>
        <w:trPr/>
        <w:tc>
          <w:tcPr>
            <w:tcW w:w="7021" w:type="dxa"/>
            <w:tcBorders/>
            <w:vAlign w:val="center"/>
          </w:tcPr>
          <w:p>
            <w:pPr>
              <w:pStyle w:val="TableContents"/>
              <w:bidi w:val="0"/>
              <w:spacing w:before="0" w:after="283"/>
              <w:jc w:val="center"/>
              <w:rPr>
                <w:b/>
              </w:rPr>
            </w:pPr>
            <w:r>
              <w:rPr>
                <w:b/>
              </w:rPr>
              <w:t xml:space="preserve">Exhibit Information </w:t>
            </w:r>
          </w:p>
        </w:tc>
      </w:tr>
      <w:tr>
        <w:trPr/>
        <w:tc>
          <w:tcPr>
            <w:tcW w:w="7021" w:type="dxa"/>
            <w:tcBorders/>
            <w:vAlign w:val="center"/>
          </w:tcPr>
          <w:p>
            <w:pPr>
              <w:pStyle w:val="TableContents"/>
              <w:bidi w:val="0"/>
              <w:spacing w:before="0" w:after="283"/>
              <w:jc w:val="left"/>
              <w:rPr/>
            </w:pPr>
            <w:r>
              <w:rPr/>
              <w:t>Exhibit 99.1 Joint Filing Agreement by and among the reporting persons</w:t>
            </w:r>
          </w:p>
        </w:tc>
      </w:tr>
    </w:tbl>
    <w:p>
      <w:pPr>
        <w:pStyle w:val="TextBody"/>
        <w:bidi w:val="0"/>
        <w:jc w:val="left"/>
        <w:rPr>
          <w:caps w:val="false"/>
          <w:smallCaps w:val="false"/>
        </w:rPr>
      </w:pPr>
      <w:bookmarkStart w:id="24" w:name="ex99-1.htm"/>
      <w:bookmarkStart w:id="25" w:name="ksex991"/>
      <w:bookmarkEnd w:id="24"/>
      <w:bookmarkEnd w:id="2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Agreement, dated as of July 31, 2026, is by and among Opaleye Management Inc., Opaleye, L.P. and James Silverman (collectively, the “Filers”).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Filers may be required to file with the United States Securities and Exchange Commission a statement on Schedule 13D and/or 13G with respect to shares of Common Stock of Harrow, Inc. beneficially owned by them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Rule 13d-1(k) promulgated under the Securities Exchange Act of 1934, as amended, the Filers hereby agree to file a single statement on Schedule 13D and/or 13G (and any amendments thereto) on behalf of each of the Filers, and hereby further agree to file this Joint Filing Agreement as an exhibit to such statement, as required by such rule.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Agreement may be terminated by any of the Filers upon written notice or such lesser period of notice as the Filers may mutually agree.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and delivered as of the date first above written.</w:t>
      </w:r>
    </w:p>
    <w:p>
      <w:pPr>
        <w:pStyle w:val="TextBody"/>
        <w:bidi w:val="0"/>
        <w:jc w:val="left"/>
        <w:rPr>
          <w:caps w:val="false"/>
          <w:smallCaps w:val="false"/>
        </w:rPr>
      </w:pPr>
      <w:r>
        <w:rPr>
          <w:caps w:val="false"/>
          <w:smallCaps w:val="false"/>
        </w:rPr>
        <w:t> </w:t>
      </w:r>
    </w:p>
    <w:tbl>
      <w:tblPr>
        <w:tblW w:w="2839" w:type="dxa"/>
        <w:jc w:val="left"/>
        <w:tblInd w:w="0" w:type="dxa"/>
        <w:tblLayout w:type="fixed"/>
        <w:tblCellMar>
          <w:top w:w="0" w:type="dxa"/>
          <w:left w:w="0" w:type="dxa"/>
          <w:bottom w:w="0" w:type="dxa"/>
          <w:right w:w="0" w:type="dxa"/>
        </w:tblCellMar>
      </w:tblPr>
      <w:tblGrid>
        <w:gridCol w:w="75"/>
        <w:gridCol w:w="694"/>
        <w:gridCol w:w="20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OPALEYE MANAGEMENT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caps w:val="false"/>
                <w:smallCaps w:val="false"/>
              </w:rPr>
            </w:pPr>
            <w:r>
              <w:rPr>
                <w:caps w:val="false"/>
                <w:smallCaps w:val="false"/>
              </w:rPr>
              <w:t> </w:t>
            </w:r>
          </w:p>
        </w:tc>
        <w:tc>
          <w:tcPr>
            <w:tcW w:w="2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0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caps w:val="false"/>
                <w:smallCaps w:val="false"/>
              </w:rPr>
            </w:pPr>
            <w:r>
              <w:rPr>
                <w:caps w:val="false"/>
                <w:smallCaps w:val="false"/>
              </w:rPr>
              <w:t> </w:t>
            </w:r>
          </w:p>
        </w:tc>
        <w:tc>
          <w:tcPr>
            <w:tcW w:w="2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OPALEYE,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caps w:val="false"/>
                <w:smallCaps w:val="false"/>
              </w:rPr>
            </w:pPr>
            <w:r>
              <w:rPr>
                <w:caps w:val="false"/>
                <w:smallCaps w:val="false"/>
              </w:rPr>
              <w:t> </w:t>
            </w:r>
          </w:p>
        </w:tc>
        <w:tc>
          <w:tcPr>
            <w:tcW w:w="2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0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caps w:val="false"/>
                <w:smallCaps w:val="false"/>
              </w:rPr>
            </w:pPr>
            <w:r>
              <w:rPr>
                <w:caps w:val="false"/>
                <w:smallCaps w:val="false"/>
              </w:rPr>
              <w:t> </w:t>
            </w:r>
          </w:p>
        </w:tc>
        <w:tc>
          <w:tcPr>
            <w:tcW w:w="2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caps w:val="false"/>
                <w:smallCaps w:val="false"/>
              </w:rPr>
            </w:pPr>
            <w:r>
              <w:rPr>
                <w:caps w:val="false"/>
                <w:smallCaps w:val="false"/>
              </w:rPr>
              <w:t> </w:t>
            </w:r>
          </w:p>
        </w:tc>
        <w:tc>
          <w:tcPr>
            <w:tcW w:w="2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Silverman</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1346</Words>
  <Characters>6977</Characters>
  <CharactersWithSpaces>8288</CharactersWithSpaces>
  <Paragraphs>315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